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CF80D" w14:textId="6CC75842" w:rsidR="00482D9E" w:rsidRDefault="00482D9E" w:rsidP="00482D9E">
      <w:pPr>
        <w:spacing w:after="160" w:line="360" w:lineRule="auto"/>
        <w:jc w:val="both"/>
        <w:rPr>
          <w:rFonts w:ascii="Arial" w:eastAsia="Arial" w:hAnsi="Arial" w:cs="Arial"/>
          <w:b/>
          <w:bCs/>
          <w:color w:val="0E2841" w:themeColor="text2"/>
        </w:rPr>
      </w:pPr>
      <w:r w:rsidRPr="0B0DE803">
        <w:rPr>
          <w:rFonts w:ascii="Arial" w:eastAsia="Arial" w:hAnsi="Arial" w:cs="Arial"/>
          <w:b/>
          <w:bCs/>
          <w:color w:val="0E2841" w:themeColor="text2"/>
        </w:rPr>
        <w:t xml:space="preserve">A doctors return to practice: recommended questions and actions </w:t>
      </w:r>
    </w:p>
    <w:p w14:paraId="47B4EBC1" w14:textId="77777777" w:rsidR="00482D9E" w:rsidRDefault="00482D9E" w:rsidP="00482D9E">
      <w:pPr>
        <w:spacing w:after="160" w:line="259" w:lineRule="auto"/>
        <w:jc w:val="both"/>
        <w:rPr>
          <w:rStyle w:val="Hyperlink"/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The following checklist of questions is recommended to be used post-absence to help with identification of issues and facilitate support planning. A copy of the completed checklist should be given to the doctor. A full version of the Academy of Medical Royal Colleges’ Return to Practice guidance is available at </w:t>
      </w:r>
      <w:hyperlink r:id="rId5">
        <w:r w:rsidRPr="0B0DE803">
          <w:rPr>
            <w:rStyle w:val="Hyperlink"/>
            <w:rFonts w:ascii="Arial" w:eastAsia="Arial" w:hAnsi="Arial" w:cs="Arial"/>
            <w:color w:val="auto"/>
          </w:rPr>
          <w:t>https://www.aomrc.org.uk/wp-content/uploads/2017/06/Return_to_Practice_guidance_2017_Revison_0617.pdf</w:t>
        </w:r>
      </w:hyperlink>
    </w:p>
    <w:p w14:paraId="1809F3BD" w14:textId="77777777" w:rsidR="00482D9E" w:rsidRPr="00327F6F" w:rsidRDefault="00482D9E" w:rsidP="00482D9E">
      <w:pPr>
        <w:spacing w:after="160" w:line="259" w:lineRule="auto"/>
        <w:jc w:val="both"/>
        <w:rPr>
          <w:rFonts w:ascii="Arial" w:eastAsia="Arial" w:hAnsi="Arial" w:cs="Arial"/>
          <w:color w:val="0E2841" w:themeColor="text2"/>
        </w:rPr>
      </w:pPr>
    </w:p>
    <w:p w14:paraId="02C52D93" w14:textId="77777777" w:rsidR="00482D9E" w:rsidRDefault="00482D9E" w:rsidP="00482D9E">
      <w:pPr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1.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Was a planning an absence checklist completed? (If so, this should be reviewed.) </w:t>
      </w:r>
    </w:p>
    <w:p w14:paraId="61720770" w14:textId="77777777" w:rsidR="00482D9E" w:rsidRDefault="00482D9E" w:rsidP="00482D9E">
      <w:pPr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2.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How long has the doctor been away? </w:t>
      </w:r>
    </w:p>
    <w:p w14:paraId="6E9445E1" w14:textId="77777777" w:rsidR="00482D9E" w:rsidRDefault="00482D9E" w:rsidP="00482D9E">
      <w:pPr>
        <w:spacing w:after="160" w:line="259" w:lineRule="auto"/>
        <w:ind w:left="720" w:hanging="720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3.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Has the absence extended beyond that which was originally expected? If so, what impact has this had? (If it was an unplanned absence, the reasons may be important) </w:t>
      </w:r>
    </w:p>
    <w:p w14:paraId="4949B2B0" w14:textId="77777777" w:rsidR="00482D9E" w:rsidRDefault="00482D9E" w:rsidP="00482D9E">
      <w:pPr>
        <w:spacing w:after="160" w:line="259" w:lineRule="auto"/>
        <w:ind w:left="720" w:hanging="720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4.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How long had the doctor been practising in the role they are returning to prior to their absence? </w:t>
      </w:r>
    </w:p>
    <w:p w14:paraId="2B58DDC9" w14:textId="77777777" w:rsidR="00482D9E" w:rsidRDefault="00482D9E" w:rsidP="00482D9E">
      <w:pPr>
        <w:spacing w:after="160" w:line="259" w:lineRule="auto"/>
        <w:ind w:left="720" w:hanging="720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5.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What responsibilities does the doctor have in the post to which they are returning? </w:t>
      </w:r>
      <w:proofErr w:type="gramStart"/>
      <w:r w:rsidRPr="0B0DE803">
        <w:rPr>
          <w:rFonts w:ascii="Arial" w:eastAsia="Arial" w:hAnsi="Arial" w:cs="Arial"/>
          <w:color w:val="auto"/>
        </w:rPr>
        <w:t>In particular are</w:t>
      </w:r>
      <w:proofErr w:type="gramEnd"/>
      <w:r w:rsidRPr="0B0DE803">
        <w:rPr>
          <w:rFonts w:ascii="Arial" w:eastAsia="Arial" w:hAnsi="Arial" w:cs="Arial"/>
          <w:color w:val="auto"/>
        </w:rPr>
        <w:t xml:space="preserve"> there any new responsibilities? </w:t>
      </w:r>
    </w:p>
    <w:p w14:paraId="0B412550" w14:textId="77777777" w:rsidR="00482D9E" w:rsidRDefault="00482D9E" w:rsidP="00482D9E">
      <w:pPr>
        <w:spacing w:after="160" w:line="259" w:lineRule="auto"/>
        <w:ind w:left="720" w:hanging="720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6.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How does the doctor feel about their confidence and skills levels? Would a period of shadowing or mentoring be beneficial? </w:t>
      </w:r>
    </w:p>
    <w:p w14:paraId="5D4137DE" w14:textId="77777777" w:rsidR="00482D9E" w:rsidRDefault="00482D9E" w:rsidP="00482D9E">
      <w:pPr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7.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What is the doctor’s full scope of practice to be (on their return)? </w:t>
      </w:r>
    </w:p>
    <w:p w14:paraId="2A091644" w14:textId="77777777" w:rsidR="00482D9E" w:rsidRDefault="00482D9E" w:rsidP="00482D9E">
      <w:pPr>
        <w:spacing w:after="160" w:line="259" w:lineRule="auto"/>
        <w:ind w:left="720" w:hanging="720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8.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If the doctor is returning to practice but in a new role, what induction support will they require and will they require any specific support </w:t>
      </w:r>
      <w:proofErr w:type="gramStart"/>
      <w:r w:rsidRPr="0B0DE803">
        <w:rPr>
          <w:rFonts w:ascii="Arial" w:eastAsia="Arial" w:hAnsi="Arial" w:cs="Arial"/>
          <w:color w:val="auto"/>
        </w:rPr>
        <w:t>due to the fact that</w:t>
      </w:r>
      <w:proofErr w:type="gramEnd"/>
      <w:r w:rsidRPr="0B0DE803">
        <w:rPr>
          <w:rFonts w:ascii="Arial" w:eastAsia="Arial" w:hAnsi="Arial" w:cs="Arial"/>
          <w:color w:val="auto"/>
        </w:rPr>
        <w:t xml:space="preserve"> they have been out of practice? What can the doctor do to prepare themselves? </w:t>
      </w:r>
    </w:p>
    <w:p w14:paraId="39A807A5" w14:textId="77777777" w:rsidR="00482D9E" w:rsidRDefault="00482D9E" w:rsidP="00482D9E">
      <w:pPr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9.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What support would the doctor find most useful in returning to practice? </w:t>
      </w:r>
    </w:p>
    <w:p w14:paraId="7E3A0FB7" w14:textId="77777777" w:rsidR="00482D9E" w:rsidRDefault="00482D9E" w:rsidP="00482D9E">
      <w:pPr>
        <w:spacing w:after="160" w:line="259" w:lineRule="auto"/>
        <w:ind w:left="720" w:hanging="720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10.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Has the doctor had relevant contact with work and/or practice during absence e.g. Keep </w:t>
      </w:r>
      <w:proofErr w:type="gramStart"/>
      <w:r w:rsidRPr="0B0DE803">
        <w:rPr>
          <w:rFonts w:ascii="Arial" w:eastAsia="Arial" w:hAnsi="Arial" w:cs="Arial"/>
          <w:color w:val="auto"/>
        </w:rPr>
        <w:t>In</w:t>
      </w:r>
      <w:proofErr w:type="gramEnd"/>
      <w:r w:rsidRPr="0B0DE803">
        <w:rPr>
          <w:rFonts w:ascii="Arial" w:eastAsia="Arial" w:hAnsi="Arial" w:cs="Arial"/>
          <w:color w:val="auto"/>
        </w:rPr>
        <w:t xml:space="preserve"> Touch days? </w:t>
      </w:r>
    </w:p>
    <w:p w14:paraId="1479EA53" w14:textId="77777777" w:rsidR="00482D9E" w:rsidRDefault="00482D9E" w:rsidP="00482D9E">
      <w:pPr>
        <w:spacing w:after="160" w:line="259" w:lineRule="auto"/>
        <w:ind w:left="720" w:hanging="720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11.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Have there been any changes since the doctor was last in post? </w:t>
      </w:r>
    </w:p>
    <w:p w14:paraId="241F3BF5" w14:textId="77777777" w:rsidR="00482D9E" w:rsidRDefault="00482D9E" w:rsidP="00482D9E">
      <w:pPr>
        <w:spacing w:after="160" w:line="259" w:lineRule="auto"/>
        <w:ind w:left="720" w:firstLine="0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For example: </w:t>
      </w:r>
    </w:p>
    <w:p w14:paraId="5D4BFC9F" w14:textId="77777777" w:rsidR="00482D9E" w:rsidRDefault="00482D9E" w:rsidP="00482D9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The need for training such as for new equipment, medication, changes to infection control, health and safety, quality assurance, other new procedures, NICE guidance, or any mandatory training missed etc </w:t>
      </w:r>
    </w:p>
    <w:p w14:paraId="472738B4" w14:textId="77777777" w:rsidR="00482D9E" w:rsidRDefault="00482D9E" w:rsidP="00482D9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Changes to common conditions or current patient population information </w:t>
      </w:r>
    </w:p>
    <w:p w14:paraId="46B71C2B" w14:textId="77777777" w:rsidR="00482D9E" w:rsidRDefault="00482D9E" w:rsidP="00482D9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Significant developments or new practices within their specialty </w:t>
      </w:r>
    </w:p>
    <w:p w14:paraId="79C08219" w14:textId="77777777" w:rsidR="00482D9E" w:rsidRDefault="00482D9E" w:rsidP="00482D9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Service reconfiguration </w:t>
      </w:r>
    </w:p>
    <w:p w14:paraId="694BE92C" w14:textId="77777777" w:rsidR="00482D9E" w:rsidRDefault="00482D9E" w:rsidP="00482D9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Changes to procedures </w:t>
      </w:r>
      <w:proofErr w:type="gramStart"/>
      <w:r w:rsidRPr="0B0DE803">
        <w:rPr>
          <w:rFonts w:ascii="Arial" w:eastAsia="Arial" w:hAnsi="Arial" w:cs="Arial"/>
          <w:color w:val="auto"/>
        </w:rPr>
        <w:t>as a result of</w:t>
      </w:r>
      <w:proofErr w:type="gramEnd"/>
      <w:r w:rsidRPr="0B0DE803">
        <w:rPr>
          <w:rFonts w:ascii="Arial" w:eastAsia="Arial" w:hAnsi="Arial" w:cs="Arial"/>
          <w:color w:val="auto"/>
        </w:rPr>
        <w:t xml:space="preserve"> learning from significant events </w:t>
      </w:r>
    </w:p>
    <w:p w14:paraId="203D3300" w14:textId="77777777" w:rsidR="00482D9E" w:rsidRDefault="00482D9E" w:rsidP="00482D9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Changes in management or role expectations: What time will the doctor have for patient care? Are there any teaching, research, management or leadership roles required? </w:t>
      </w:r>
    </w:p>
    <w:p w14:paraId="66DA3DB2" w14:textId="77777777" w:rsidR="00482D9E" w:rsidRDefault="00482D9E" w:rsidP="00482D9E">
      <w:pPr>
        <w:spacing w:after="160" w:line="259" w:lineRule="auto"/>
        <w:ind w:left="720" w:hanging="720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>12.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Has the absence had any impact on the doctor’s licence to practise and revalidation? What help might they need to fulfil the requirements for revalidation? </w:t>
      </w:r>
    </w:p>
    <w:p w14:paraId="5D7DC66E" w14:textId="77777777" w:rsidR="00482D9E" w:rsidRDefault="00482D9E" w:rsidP="00482D9E">
      <w:pPr>
        <w:spacing w:after="160" w:line="259" w:lineRule="auto"/>
        <w:ind w:left="720" w:hanging="720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13. 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Have any new issues (negative or positive) arisen for the doctor since the doctor was last in practice which may affect the doctor’s confidence or abilities? </w:t>
      </w:r>
    </w:p>
    <w:p w14:paraId="3D3251F6" w14:textId="77777777" w:rsidR="00482D9E" w:rsidRDefault="00482D9E" w:rsidP="00482D9E">
      <w:pPr>
        <w:spacing w:after="160" w:line="259" w:lineRule="auto"/>
        <w:ind w:left="720" w:hanging="720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lastRenderedPageBreak/>
        <w:t xml:space="preserve">14.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Has the doctor been able to keep up to date with their CPD whilst they were away from practice? </w:t>
      </w:r>
    </w:p>
    <w:p w14:paraId="4E7F28B4" w14:textId="77777777" w:rsidR="00482D9E" w:rsidRDefault="00482D9E" w:rsidP="00482D9E">
      <w:pPr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15.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If the doctor is a trainee, what are the plans for a return to learning? </w:t>
      </w:r>
    </w:p>
    <w:p w14:paraId="7F494F2A" w14:textId="77777777" w:rsidR="00482D9E" w:rsidRDefault="00482D9E" w:rsidP="00482D9E">
      <w:pPr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>16.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Is the doctor having a staged return to work on the advice of Occupational Health? </w:t>
      </w:r>
    </w:p>
    <w:p w14:paraId="3A6EECED" w14:textId="77777777" w:rsidR="00482D9E" w:rsidRDefault="00482D9E" w:rsidP="00482D9E">
      <w:pPr>
        <w:spacing w:after="160" w:line="259" w:lineRule="auto"/>
        <w:ind w:left="720" w:hanging="720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17.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Are there any issues regarding the doctor’s next appraisal which need to be considered? Is the revalidation date affected? (If either applies, the Responsible Officer/ appraiser should be informed) </w:t>
      </w:r>
    </w:p>
    <w:p w14:paraId="4C8424E0" w14:textId="77777777" w:rsidR="00482D9E" w:rsidRDefault="00482D9E" w:rsidP="00482D9E">
      <w:pPr>
        <w:spacing w:after="160" w:line="259" w:lineRule="auto"/>
        <w:ind w:left="720" w:hanging="720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18.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Are there other factors affecting the return to practice or does the doctor have issues to raise? </w:t>
      </w:r>
    </w:p>
    <w:p w14:paraId="04878AFB" w14:textId="77777777" w:rsidR="00482D9E" w:rsidRDefault="00482D9E" w:rsidP="00482D9E">
      <w:pPr>
        <w:spacing w:after="160" w:line="259" w:lineRule="auto"/>
        <w:ind w:left="720" w:hanging="720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19.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Is a period of observation of other doctors’ practice is required and/or does the doctor need to be observed before beginning to practise independently again? </w:t>
      </w:r>
    </w:p>
    <w:p w14:paraId="5EEB7E59" w14:textId="77777777" w:rsidR="00482D9E" w:rsidRPr="00132A7E" w:rsidRDefault="00482D9E" w:rsidP="00482D9E">
      <w:pPr>
        <w:spacing w:after="160" w:line="259" w:lineRule="auto"/>
        <w:ind w:left="720" w:hanging="720"/>
        <w:jc w:val="both"/>
        <w:rPr>
          <w:rFonts w:ascii="Arial" w:eastAsia="Arial" w:hAnsi="Arial" w:cs="Arial"/>
          <w:color w:val="auto"/>
        </w:rPr>
      </w:pPr>
      <w:r w:rsidRPr="0B0DE803">
        <w:rPr>
          <w:rFonts w:ascii="Arial" w:eastAsia="Arial" w:hAnsi="Arial" w:cs="Arial"/>
          <w:color w:val="auto"/>
        </w:rPr>
        <w:t xml:space="preserve">20. </w:t>
      </w:r>
      <w:r>
        <w:tab/>
      </w:r>
      <w:r w:rsidRPr="0B0DE803">
        <w:rPr>
          <w:rFonts w:ascii="Arial" w:eastAsia="Arial" w:hAnsi="Arial" w:cs="Arial"/>
          <w:color w:val="auto"/>
        </w:rPr>
        <w:t xml:space="preserve">Will the doctor need training, special support or mentoring on return to practice? If so, are there any funding issues related to this which need to be considered? </w:t>
      </w:r>
    </w:p>
    <w:p w14:paraId="432A5A39" w14:textId="77777777" w:rsidR="001732A6" w:rsidRDefault="001732A6"/>
    <w:sectPr w:rsidR="001732A6" w:rsidSect="00482D9E">
      <w:headerReference w:type="default" r:id="rId6"/>
      <w:footerReference w:type="default" r:id="rId7"/>
      <w:footnotePr>
        <w:numRestart w:val="eachPage"/>
      </w:footnotePr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6089" w14:textId="77777777" w:rsidR="00482D9E" w:rsidRDefault="00482D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AFAE5" w14:textId="77777777" w:rsidR="00482D9E" w:rsidRDefault="00482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242B6"/>
    <w:multiLevelType w:val="hybridMultilevel"/>
    <w:tmpl w:val="E206C670"/>
    <w:lvl w:ilvl="0" w:tplc="2D0EF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4A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A4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2C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20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2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E4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09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4B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56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9E"/>
    <w:rsid w:val="00032F7E"/>
    <w:rsid w:val="001732A6"/>
    <w:rsid w:val="00212C6D"/>
    <w:rsid w:val="00482D9E"/>
    <w:rsid w:val="00710039"/>
    <w:rsid w:val="0088649E"/>
    <w:rsid w:val="009B74FD"/>
    <w:rsid w:val="00A3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5B1C2"/>
  <w15:chartTrackingRefBased/>
  <w15:docId w15:val="{4750D499-FDF8-496C-9CE5-A2342820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D9E"/>
    <w:pPr>
      <w:spacing w:after="27" w:line="250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D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2D9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2D9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82D9E"/>
    <w:rPr>
      <w:rFonts w:eastAsiaTheme="minorEastAsia"/>
      <w:color w:val="404040" w:themeColor="text1" w:themeTint="BF"/>
      <w:kern w:val="0"/>
      <w:sz w:val="18"/>
      <w:szCs w:val="18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2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D9E"/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aomrc.org.uk/wp-content/uploads/2017/06/Return_to_Practice_guidance_2017_Revison_061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Company>NHS Education For Scotland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Forsyth</dc:creator>
  <cp:keywords/>
  <dc:description/>
  <cp:lastModifiedBy>Kathleen Forsyth</cp:lastModifiedBy>
  <cp:revision>1</cp:revision>
  <dcterms:created xsi:type="dcterms:W3CDTF">2024-07-30T18:28:00Z</dcterms:created>
  <dcterms:modified xsi:type="dcterms:W3CDTF">2024-07-30T18:29:00Z</dcterms:modified>
</cp:coreProperties>
</file>